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河北香河经济开发区管理委员会</w:t>
      </w:r>
      <w:r>
        <w:rPr>
          <w:rFonts w:ascii="Times New Roman" w:hAnsi="Times New Roman" w:eastAsia="方正小标宋简体" w:cs="Times New Roman"/>
          <w:sz w:val="44"/>
          <w:szCs w:val="44"/>
        </w:rPr>
        <w:t>2022年部门预算信息公开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河北香河经济开发区管理委员会</w:t>
      </w:r>
      <w:r>
        <w:rPr>
          <w:rFonts w:ascii="Times New Roman" w:hAnsi="Times New Roman" w:eastAsia="仿宋_GB2312" w:cs="Times New Roman"/>
          <w:sz w:val="32"/>
          <w:szCs w:val="32"/>
        </w:rPr>
        <w:t>2022年部门预算公开如下：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贯彻落实党的方针、政策和上级党委的决议、指示，研究开发区内重大经济社会发展问题，有关重大问题向市委请示报告；坚持党管干部的原则，按干部管理权限负责开发区工委、开发区管委各职能部门、直属单位干部及人事的管理，积极推进用人制度和分配制度的改革，培养、教育干部职工队伍；负责开发区内各单位、外商投资企业等基层党组织建设、思想建设和作风建设，党员管理和发展新党员工作；负责办理出国人员政审工作，负责老干部、知识分子、统战工作；负责开发区的纪律检查、监督工作，按照干部管理权限负责案件的调查审理；领导开发区政法、综合治理工作，协调和指导公、检、法、司等部门的工作；负责开发区宣传和精神文明建设等方面的工作；领导开发区工会联合会、共青团、妇联等组织的工作；行使市委授予的其他职权；编制开发区经济、社会发展总体规划，经批准后组织实施；按照规定权限审批、注册、登记投资建设项目，核发执照；按照批准的总体规划，实施区内规划和建筑市场管理，核发规划建设“一书两证”；按照规定权限负责开发区内土地的征用、划拨、估价、土地使用权出让、转让；核发国有土地使用证和宅基地证书；负责开发区内房屋产权、产籍、交易管理和房证管理工作，核发产权证书；编制并报批开发区环境保护规划，审批区内项目的环保设计和工程，核发环保“三证”；负责开发区一级财政，实施区内财政预算、决算和国有资产管理、财政监督、审计监督；统一管理开发区的各项基础设施和公用设施；管理开发区进出口贸易、对外经济技术合作及涉外经济活动；负责开发区涉外事务，按照有关规定审核申报区内人员出国（境）事项；负责开发区人事劳动、机构编制和社会治安、户籍等管理以及社会中介、保障组织管理；负责开发区科教、文化、卫生事业及农村行政经济管理；领导和指导市有关部门设在开发区分支机构的工作，负责工商、税务、金融、保险、外汇管理、进出口检验等机构的监督与协调；行使市政府授予的其他管理权限。</w:t>
      </w:r>
    </w:p>
    <w:p>
      <w:pPr>
        <w:spacing w:line="584" w:lineRule="exact"/>
        <w:ind w:firstLine="660"/>
        <w:rPr>
          <w:rFonts w:hint="eastAsia" w:ascii="仿宋" w:hAnsi="仿宋" w:eastAsia="仿宋" w:cs="仿宋"/>
          <w:sz w:val="32"/>
          <w:szCs w:val="32"/>
        </w:rPr>
      </w:pP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33"/>
        <w:gridCol w:w="1260"/>
        <w:gridCol w:w="1290"/>
        <w:gridCol w:w="23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83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26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90"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37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83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60"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90"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37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5" w:hRule="atLeast"/>
          <w:jc w:val="center"/>
        </w:trPr>
        <w:tc>
          <w:tcPr>
            <w:tcW w:w="4833" w:type="dxa"/>
            <w:shd w:val="clear" w:color="auto" w:fill="auto"/>
            <w:vAlign w:val="center"/>
          </w:tcPr>
          <w:p>
            <w:pPr>
              <w:spacing w:line="300" w:lineRule="exact"/>
              <w:jc w:val="center"/>
              <w:rPr>
                <w:rFonts w:ascii="Times New Roman" w:hAnsi="Times New Roman" w:eastAsia="仿宋_GB2312" w:cs="Times New Roman"/>
                <w:b/>
              </w:rPr>
            </w:pPr>
            <w:r>
              <w:rPr>
                <w:rFonts w:hint="eastAsia" w:ascii="仿宋" w:hAnsi="仿宋" w:eastAsia="仿宋" w:cs="仿宋"/>
                <w:sz w:val="32"/>
                <w:szCs w:val="32"/>
              </w:rPr>
              <w:t>河北香河经济开发区管理委员会</w:t>
            </w:r>
          </w:p>
        </w:tc>
        <w:tc>
          <w:tcPr>
            <w:tcW w:w="1260" w:type="dxa"/>
            <w:shd w:val="clear" w:color="auto" w:fill="auto"/>
            <w:vAlign w:val="center"/>
          </w:tcPr>
          <w:p>
            <w:pPr>
              <w:spacing w:line="300" w:lineRule="exact"/>
              <w:jc w:val="center"/>
              <w:rPr>
                <w:rFonts w:ascii="Times New Roman" w:hAnsi="Times New Roman" w:eastAsia="仿宋_GB2312" w:cs="Times New Roman"/>
                <w:b/>
              </w:rPr>
            </w:pPr>
            <w:r>
              <w:rPr>
                <w:rFonts w:hint="eastAsia" w:ascii="仿宋" w:hAnsi="仿宋" w:eastAsia="仿宋" w:cs="仿宋"/>
                <w:sz w:val="32"/>
                <w:szCs w:val="32"/>
              </w:rPr>
              <w:t>行政</w:t>
            </w:r>
          </w:p>
        </w:tc>
        <w:tc>
          <w:tcPr>
            <w:tcW w:w="1290" w:type="dxa"/>
            <w:shd w:val="clear" w:color="auto" w:fill="auto"/>
            <w:vAlign w:val="center"/>
          </w:tcPr>
          <w:p>
            <w:pPr>
              <w:spacing w:line="300" w:lineRule="exact"/>
              <w:jc w:val="center"/>
              <w:rPr>
                <w:rFonts w:ascii="Times New Roman" w:hAnsi="Times New Roman" w:eastAsia="仿宋_GB2312" w:cs="Times New Roman"/>
                <w:b/>
              </w:rPr>
            </w:pPr>
            <w:r>
              <w:rPr>
                <w:rFonts w:hint="eastAsia" w:ascii="仿宋" w:hAnsi="仿宋" w:eastAsia="仿宋" w:cs="仿宋"/>
                <w:sz w:val="32"/>
                <w:szCs w:val="32"/>
              </w:rPr>
              <w:t>副处级</w:t>
            </w:r>
          </w:p>
        </w:tc>
        <w:tc>
          <w:tcPr>
            <w:tcW w:w="2372" w:type="dxa"/>
            <w:shd w:val="clear" w:color="auto" w:fill="auto"/>
            <w:vAlign w:val="center"/>
          </w:tcPr>
          <w:p>
            <w:pPr>
              <w:spacing w:line="300" w:lineRule="exact"/>
              <w:jc w:val="center"/>
              <w:rPr>
                <w:rFonts w:ascii="Times New Roman" w:hAnsi="Times New Roman" w:eastAsia="仿宋_GB2312" w:cs="Times New Roman"/>
                <w:b/>
              </w:rPr>
            </w:pPr>
            <w:r>
              <w:rPr>
                <w:rFonts w:hint="eastAsia" w:ascii="仿宋" w:hAnsi="仿宋" w:eastAsia="仿宋" w:cs="仿宋"/>
                <w:sz w:val="32"/>
                <w:szCs w:val="32"/>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hint="eastAsia" w:ascii="仿宋" w:hAnsi="仿宋" w:eastAsia="仿宋" w:cs="仿宋"/>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w:t>
      </w:r>
      <w:r>
        <w:rPr>
          <w:rFonts w:hint="eastAsia" w:ascii="仿宋" w:hAnsi="仿宋" w:eastAsia="仿宋" w:cs="仿宋"/>
          <w:sz w:val="32"/>
          <w:szCs w:val="32"/>
        </w:rPr>
        <w:t>河北香河经济开发区管理委员会的收支包含在部门预算中。</w:t>
      </w:r>
    </w:p>
    <w:p>
      <w:pPr>
        <w:spacing w:line="584" w:lineRule="exact"/>
        <w:ind w:firstLine="640" w:firstLineChars="20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仿宋" w:hAnsi="仿宋" w:eastAsia="仿宋" w:cs="仿宋"/>
          <w:sz w:val="32"/>
          <w:szCs w:val="32"/>
        </w:rPr>
      </w:pPr>
      <w:r>
        <w:rPr>
          <w:rFonts w:ascii="Times New Roman" w:hAnsi="Times New Roman" w:eastAsia="仿宋_GB2312" w:cs="Times New Roman"/>
          <w:sz w:val="32"/>
          <w:szCs w:val="32"/>
        </w:rPr>
        <w:t>反映本部门当年全部收入。</w:t>
      </w:r>
      <w:r>
        <w:rPr>
          <w:rFonts w:hint="eastAsia" w:ascii="仿宋" w:hAnsi="仿宋" w:eastAsia="仿宋" w:cs="仿宋"/>
          <w:sz w:val="32"/>
          <w:szCs w:val="32"/>
        </w:rPr>
        <w:t>2022年预算收入</w:t>
      </w:r>
      <w:r>
        <w:rPr>
          <w:rFonts w:hint="eastAsia" w:ascii="仿宋" w:hAnsi="仿宋" w:eastAsia="仿宋" w:cs="仿宋"/>
          <w:sz w:val="32"/>
          <w:szCs w:val="32"/>
          <w:lang w:val="en-US" w:eastAsia="zh-CN"/>
        </w:rPr>
        <w:t>20284.43</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15487</w:t>
      </w:r>
      <w:r>
        <w:rPr>
          <w:rFonts w:hint="eastAsia" w:ascii="仿宋" w:hAnsi="仿宋" w:eastAsia="仿宋" w:cs="仿宋"/>
          <w:sz w:val="32"/>
          <w:szCs w:val="32"/>
        </w:rPr>
        <w:t>万元，基金预算收</w:t>
      </w:r>
      <w:r>
        <w:rPr>
          <w:rFonts w:hint="eastAsia" w:ascii="仿宋" w:hAnsi="仿宋" w:eastAsia="仿宋" w:cs="仿宋"/>
          <w:sz w:val="32"/>
          <w:szCs w:val="32"/>
          <w:lang w:eastAsia="zh-CN"/>
        </w:rPr>
        <w:t>入</w:t>
      </w:r>
      <w:r>
        <w:rPr>
          <w:rFonts w:hint="eastAsia" w:ascii="仿宋" w:hAnsi="仿宋" w:eastAsia="仿宋" w:cs="仿宋"/>
          <w:sz w:val="32"/>
          <w:szCs w:val="32"/>
          <w:lang w:val="en-US" w:eastAsia="zh-CN"/>
        </w:rPr>
        <w:t>4797.43</w:t>
      </w:r>
      <w:r>
        <w:rPr>
          <w:rFonts w:hint="eastAsia" w:ascii="仿宋" w:hAnsi="仿宋" w:eastAsia="仿宋" w:cs="仿宋"/>
          <w:sz w:val="32"/>
          <w:szCs w:val="32"/>
        </w:rPr>
        <w:t>万元，财政专户核拨收入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万元，其他来源收入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bookmarkStart w:id="3" w:name="_GoBack"/>
      <w:bookmarkEnd w:id="3"/>
    </w:p>
    <w:p>
      <w:pPr>
        <w:spacing w:line="584" w:lineRule="exact"/>
        <w:ind w:firstLine="640"/>
        <w:rPr>
          <w:rFonts w:ascii="仿宋" w:hAnsi="仿宋" w:eastAsia="仿宋" w:cs="仿宋"/>
          <w:sz w:val="32"/>
          <w:szCs w:val="32"/>
        </w:rPr>
      </w:pPr>
      <w:r>
        <w:rPr>
          <w:rFonts w:hint="eastAsia" w:ascii="仿宋" w:hAnsi="仿宋" w:eastAsia="仿宋" w:cs="仿宋"/>
          <w:sz w:val="32"/>
          <w:szCs w:val="32"/>
        </w:rPr>
        <w:t>收支预算总表支出栏、基本支出表、项目支出表按经济分类和支出功能分类科目编制，反映河北香河经济开发区管理委员会2022年度部门预算中支出预算的总体情况。2022年支出预算20284.43万元，其中基本支出3331.54万元，包括人员类项目经费2651.3万元和运转类公用项目经费680.24万元；运转类其他及特定目标类项目支出16952.89万元，包括本级支出13000万元，主要为园区开发建设资金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autoSpaceDE w:val="0"/>
        <w:autoSpaceDN w:val="0"/>
        <w:adjustRightInd w:val="0"/>
        <w:spacing w:line="584" w:lineRule="exact"/>
        <w:ind w:left="198" w:firstLine="640" w:firstLineChars="200"/>
        <w:jc w:val="left"/>
        <w:rPr>
          <w:rFonts w:hint="eastAsia" w:ascii="仿宋" w:hAnsi="仿宋" w:eastAsia="仿宋" w:cs="仿宋"/>
          <w:sz w:val="32"/>
          <w:szCs w:val="32"/>
        </w:rPr>
      </w:pPr>
      <w:r>
        <w:rPr>
          <w:rFonts w:hint="eastAsia" w:ascii="仿宋" w:hAnsi="仿宋" w:eastAsia="仿宋" w:cs="仿宋"/>
          <w:sz w:val="32"/>
          <w:szCs w:val="32"/>
        </w:rPr>
        <w:t>2022年预算收支安排20284.43万元，较2021年预算减少877.02万元，其中：基本支出减少624.34万元，主要为日常公用支出支出；项目支出减少252.68万元，主要为城镇基础设施建设资金及开发建设资金项目支出。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仿宋"/>
          <w:sz w:val="32"/>
          <w:szCs w:val="32"/>
        </w:rPr>
      </w:pPr>
      <w:r>
        <w:rPr>
          <w:rFonts w:hint="eastAsia" w:ascii="仿宋" w:hAnsi="仿宋" w:eastAsia="仿宋" w:cs="仿宋"/>
          <w:sz w:val="32"/>
          <w:szCs w:val="32"/>
        </w:rPr>
        <w:t>2022年，我局机关运行经费共计安排680.24万元，主要用于经开区办公区的日常维修、办公用房水电费、办公用房取暖费、办公用房物业管理费等日常运行支出。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仿宋" w:hAnsi="仿宋" w:eastAsia="仿宋" w:cs="仿宋"/>
          <w:sz w:val="32"/>
          <w:szCs w:val="32"/>
        </w:rPr>
        <w:t>2022年，我局财政拨款“三公”经费预算安排171万元。其中，因公出国（境）费0万元；公务用车购置及运维费21万元（其中：公务用车购置费为0万元，公务用车运维费21万元)；公务接待费150万元。与2021年相比减少51万元，其中，公务用车购置及运维费1万元（其中：公务用车购置费0万元，公务用车运维费减少1万元)，主要原因是我部门切实落实勤俭节约各项规定，压减公车运行经费支出。公务接待费减少50万元，主要原因是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总体绩效目标：坚持以习近平新时代中国特色社会主义思想为指导，深入贯彻党的十九大和中共十九届二中、三中、四中全会精神，按照香河县总体工作部署，结合全县重点中心工作，坚持稳中求进工作总基调，坚持创新发展理念，坚持推进高质量发展，坚持以供给侧结构性改革为主线，紧紧围绕非首都功能承载地战略定位，以创新为引领，强化产业立区、产业强区的职责使命，大力推进智能制造特色园中园建设，统筹推进转方式、调结构、填空白、补短板、惠民生、防风险各项工作，努力开创开发区建设的新局面。及时有效发放占地村街生活补贴；维护修缮园区街道2条；园区市政道路及设施养护、保洁工作完成率100%；园区排水管网清淤工作验收合格率100%；区域委托开发清算资金拨付率100%；参加2次以上全国性质的招商引资活动，将招商引资工作落到实处，实现全年税收稳步增长；日常巡查天数不少于100天，祼土苫盖维护大气治理，全年空气质量优良天数增长2天，实现环境空气质量持续改善，保障空气质量良好，提高人居环境质量，保障广大群众身体健康。</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rPr>
          <w:rFonts w:ascii="仿宋" w:hAnsi="仿宋" w:eastAsia="仿宋" w:cs="仿宋"/>
          <w:sz w:val="32"/>
          <w:szCs w:val="32"/>
        </w:rPr>
      </w:pPr>
      <w:r>
        <w:rPr>
          <w:rFonts w:hint="eastAsia" w:ascii="仿宋" w:hAnsi="仿宋" w:eastAsia="仿宋" w:cs="仿宋"/>
          <w:sz w:val="32"/>
          <w:szCs w:val="32"/>
        </w:rPr>
        <w:t>1、产业园区总体规划、发展计划管理</w:t>
      </w:r>
    </w:p>
    <w:p>
      <w:pPr>
        <w:pStyle w:val="23"/>
        <w:rPr>
          <w:rFonts w:ascii="仿宋" w:hAnsi="仿宋" w:eastAsia="仿宋" w:cs="仿宋"/>
          <w:sz w:val="32"/>
          <w:szCs w:val="32"/>
        </w:rPr>
      </w:pPr>
      <w:r>
        <w:rPr>
          <w:rFonts w:hint="eastAsia" w:ascii="仿宋" w:hAnsi="仿宋" w:eastAsia="仿宋" w:cs="仿宋"/>
          <w:sz w:val="32"/>
          <w:szCs w:val="32"/>
        </w:rPr>
        <w:t>绩效目标：完成项目占地百姓生活补偿发放工作，维护农民的合法权益，保障开发区项目建设用地；完成征迁土地面积的测量工作，确保土地补偿面积准确性，为土地补偿工作奠定基础。</w:t>
      </w:r>
    </w:p>
    <w:p>
      <w:pPr>
        <w:pStyle w:val="23"/>
        <w:rPr>
          <w:rFonts w:ascii="仿宋" w:hAnsi="仿宋" w:eastAsia="仿宋" w:cs="仿宋"/>
          <w:sz w:val="32"/>
          <w:szCs w:val="32"/>
        </w:rPr>
      </w:pPr>
      <w:r>
        <w:rPr>
          <w:rFonts w:hint="eastAsia" w:ascii="仿宋" w:hAnsi="仿宋" w:eastAsia="仿宋" w:cs="仿宋"/>
          <w:sz w:val="32"/>
          <w:szCs w:val="32"/>
        </w:rPr>
        <w:t>绩效指标：；及时有效发放占地村街百姓生活补偿款；补偿款发生准确率达到100%。</w:t>
      </w:r>
    </w:p>
    <w:p>
      <w:pPr>
        <w:pStyle w:val="23"/>
        <w:rPr>
          <w:rFonts w:ascii="仿宋" w:hAnsi="仿宋" w:eastAsia="仿宋" w:cs="仿宋"/>
          <w:sz w:val="32"/>
          <w:szCs w:val="32"/>
        </w:rPr>
      </w:pPr>
      <w:r>
        <w:rPr>
          <w:rFonts w:hint="eastAsia" w:ascii="仿宋" w:hAnsi="仿宋" w:eastAsia="仿宋" w:cs="仿宋"/>
          <w:sz w:val="32"/>
          <w:szCs w:val="32"/>
        </w:rPr>
        <w:t>2、市政和公用基础设施的建设管理</w:t>
      </w:r>
      <w:r>
        <w:rPr>
          <w:rFonts w:hint="eastAsia" w:ascii="仿宋" w:hAnsi="仿宋" w:eastAsia="仿宋" w:cs="仿宋"/>
          <w:sz w:val="32"/>
          <w:szCs w:val="32"/>
        </w:rPr>
        <w:tab/>
      </w:r>
    </w:p>
    <w:p>
      <w:pPr>
        <w:pStyle w:val="23"/>
        <w:rPr>
          <w:rFonts w:ascii="仿宋" w:hAnsi="仿宋" w:eastAsia="仿宋" w:cs="仿宋"/>
          <w:sz w:val="32"/>
          <w:szCs w:val="32"/>
        </w:rPr>
      </w:pPr>
      <w:r>
        <w:rPr>
          <w:rFonts w:hint="eastAsia" w:ascii="仿宋" w:hAnsi="仿宋" w:eastAsia="仿宋" w:cs="仿宋"/>
          <w:sz w:val="32"/>
          <w:szCs w:val="32"/>
        </w:rPr>
        <w:t>绩效目标：积极开展巡查工作，做好两违拆除工作，保证违章建筑、违法占地拆除整改到位，消除违法状态，农村人居环境得到改善；加强农村基础设施建设，对部分村街道路进行维修改造，美化村街环境，给村民的生产、生活带来方便；完成园区内公用设施养护、保洁工作，保持路面清洁，路灯正常使用，提升人居环境生活质量；完成园区内两侧排水管网清淤工作，保障道路两侧排水管网正常运行，保障园区排水畅通。</w:t>
      </w:r>
    </w:p>
    <w:p>
      <w:pPr>
        <w:pStyle w:val="23"/>
        <w:rPr>
          <w:rFonts w:ascii="仿宋" w:hAnsi="仿宋" w:eastAsia="仿宋" w:cs="仿宋"/>
          <w:sz w:val="32"/>
          <w:szCs w:val="32"/>
        </w:rPr>
      </w:pPr>
      <w:r>
        <w:rPr>
          <w:rFonts w:hint="eastAsia" w:ascii="仿宋" w:hAnsi="仿宋" w:eastAsia="仿宋" w:cs="仿宋"/>
          <w:sz w:val="32"/>
          <w:szCs w:val="32"/>
        </w:rPr>
        <w:t>绩效指标：全区域内巡查面积覆盖率达到90%，拆除违法建筑10处；维护修整园区道路2条；园区市政道路及设施养护、保洁工作完成率100%；园区内排水管网清淤工作验收合格率100%。</w:t>
      </w:r>
    </w:p>
    <w:p>
      <w:pPr>
        <w:pStyle w:val="23"/>
        <w:rPr>
          <w:rFonts w:ascii="仿宋" w:hAnsi="仿宋" w:eastAsia="仿宋" w:cs="仿宋"/>
          <w:sz w:val="32"/>
          <w:szCs w:val="32"/>
        </w:rPr>
      </w:pPr>
      <w:r>
        <w:rPr>
          <w:rFonts w:hint="eastAsia" w:ascii="仿宋" w:hAnsi="仿宋" w:eastAsia="仿宋" w:cs="仿宋"/>
          <w:sz w:val="32"/>
          <w:szCs w:val="32"/>
        </w:rPr>
        <w:t>3、环境卫生治理及大气污染防治管理</w:t>
      </w:r>
    </w:p>
    <w:p>
      <w:pPr>
        <w:pStyle w:val="23"/>
        <w:rPr>
          <w:rFonts w:ascii="仿宋" w:hAnsi="仿宋" w:eastAsia="仿宋" w:cs="仿宋"/>
          <w:sz w:val="32"/>
          <w:szCs w:val="32"/>
        </w:rPr>
      </w:pPr>
      <w:r>
        <w:rPr>
          <w:rFonts w:hint="eastAsia" w:ascii="仿宋" w:hAnsi="仿宋" w:eastAsia="仿宋" w:cs="仿宋"/>
          <w:sz w:val="32"/>
          <w:szCs w:val="32"/>
        </w:rPr>
        <w:t>绩效目标：完成镇区街道 “三大堆”集中整治工作，提高城乡社区的环境卫生状况，改善企业及社区居民的生活环境；积极开展大气污染综合治理工作，深入开展扬尘污染、清理杂草、日常专项巡逻、裸土苫盖，实现环境空气质量持续改善，保障空气质量良好，提高人居环境质量，保障广大群众身体健康。</w:t>
      </w:r>
    </w:p>
    <w:p>
      <w:pPr>
        <w:pStyle w:val="23"/>
        <w:rPr>
          <w:rFonts w:ascii="仿宋" w:hAnsi="仿宋" w:eastAsia="仿宋" w:cs="仿宋"/>
          <w:sz w:val="32"/>
          <w:szCs w:val="32"/>
        </w:rPr>
      </w:pPr>
      <w:r>
        <w:rPr>
          <w:rFonts w:hint="eastAsia" w:ascii="仿宋" w:hAnsi="仿宋" w:eastAsia="仿宋" w:cs="仿宋"/>
          <w:sz w:val="32"/>
          <w:szCs w:val="32"/>
        </w:rPr>
        <w:t>绩效指标：清理柴草500吨，建筑垃圾、土堆200处；全年日常巡查天数不少于100天，全年空气质量优良天数增长2天。</w:t>
      </w:r>
    </w:p>
    <w:p>
      <w:pPr>
        <w:pStyle w:val="23"/>
        <w:rPr>
          <w:rFonts w:ascii="仿宋" w:hAnsi="仿宋" w:eastAsia="仿宋" w:cs="仿宋"/>
          <w:sz w:val="32"/>
          <w:szCs w:val="32"/>
        </w:rPr>
      </w:pPr>
      <w:r>
        <w:rPr>
          <w:rFonts w:hint="eastAsia" w:ascii="仿宋" w:hAnsi="仿宋" w:eastAsia="仿宋" w:cs="仿宋"/>
          <w:sz w:val="32"/>
          <w:szCs w:val="32"/>
        </w:rPr>
        <w:t>4、社会治安综合治理和维护稳定工作管理</w:t>
      </w:r>
    </w:p>
    <w:p>
      <w:pPr>
        <w:pStyle w:val="23"/>
        <w:rPr>
          <w:rFonts w:ascii="仿宋" w:hAnsi="仿宋" w:eastAsia="仿宋" w:cs="仿宋"/>
          <w:sz w:val="32"/>
          <w:szCs w:val="32"/>
        </w:rPr>
      </w:pPr>
      <w:r>
        <w:rPr>
          <w:rFonts w:hint="eastAsia" w:ascii="仿宋" w:hAnsi="仿宋" w:eastAsia="仿宋" w:cs="仿宋"/>
          <w:sz w:val="32"/>
          <w:szCs w:val="32"/>
        </w:rPr>
        <w:t>绩效目标：完成“两会”期间、国庆期间及其他特殊时期维稳执勤工作，做好全区内的信访稳定工作，减少进京上访事件发生，维护开发区社会秩序稳定和谐；完成“两会”期间各个社区街道巡查工作保障“两会”的正常召开；持续开展扫黑除恶专项斗争，确保全年安全稳定；完成有水坑塘巡查和管护工作，防止学生进入坑塘发生意外，保障学生的假期安全。</w:t>
      </w:r>
    </w:p>
    <w:p>
      <w:pPr>
        <w:spacing w:line="584"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绩效指标：重大安保任务完成率100%；两会期间发生上访事件隐患0次；有水坑塘进行巡查和管护数量10个</w:t>
      </w:r>
      <w:r>
        <w:rPr>
          <w:rFonts w:hint="eastAsia" w:ascii="仿宋" w:hAnsi="仿宋" w:eastAsia="仿宋" w:cs="仿宋"/>
          <w:sz w:val="32"/>
          <w:szCs w:val="32"/>
          <w:lang w:eastAsia="zh-CN"/>
        </w:rPr>
        <w:t>。</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4"/>
        <w:rPr>
          <w:rFonts w:ascii="仿宋" w:hAnsi="仿宋" w:eastAsia="仿宋" w:cs="仿宋"/>
          <w:sz w:val="32"/>
          <w:szCs w:val="32"/>
        </w:rPr>
      </w:pPr>
      <w:r>
        <w:rPr>
          <w:rFonts w:hint="eastAsia" w:ascii="仿宋" w:hAnsi="仿宋" w:eastAsia="仿宋" w:cs="仿宋"/>
          <w:sz w:val="32"/>
          <w:szCs w:val="32"/>
        </w:rPr>
        <w:t>1、旗帜鲜明讲政治。牢固树立“四个意识”，坚决做到“两个维护”，严肃政治纪律和政治规矩，推动党员干部自觉做到“三个一”和“四个决不允许”，更加主动地把开发区放在省市发展大局中去定位、去谋划，始终从政治上把大局、看问题、做工作。</w:t>
      </w:r>
    </w:p>
    <w:p>
      <w:pPr>
        <w:pStyle w:val="24"/>
        <w:rPr>
          <w:rFonts w:ascii="仿宋" w:hAnsi="仿宋" w:eastAsia="仿宋" w:cs="仿宋"/>
          <w:sz w:val="32"/>
          <w:szCs w:val="32"/>
        </w:rPr>
      </w:pPr>
      <w:r>
        <w:rPr>
          <w:rFonts w:hint="eastAsia" w:ascii="仿宋" w:hAnsi="仿宋" w:eastAsia="仿宋" w:cs="仿宋"/>
          <w:sz w:val="32"/>
          <w:szCs w:val="32"/>
        </w:rPr>
        <w:t>2、依法履职抓执行。认真执行县委、县政府决策部署，主动接受监察监督，高度重视审计监督、司法监督、社会监督和舆论监督。围绕开发区规划明确的目标任务，制定路线图和时间表，进一步压实责任。各级领导干部要当好施工队长，以钉钉子精神抓好重点工作、工程的责任落实。深入推进开发区机构体制改革，关心关爱干部，进一步激励广大干部新担当新作为。加强干部能力建设，提高自身素养，增强履职本领。</w:t>
      </w:r>
    </w:p>
    <w:p>
      <w:pPr>
        <w:pStyle w:val="24"/>
        <w:rPr>
          <w:rFonts w:ascii="仿宋" w:hAnsi="仿宋" w:eastAsia="仿宋" w:cs="仿宋"/>
          <w:sz w:val="32"/>
          <w:szCs w:val="32"/>
        </w:rPr>
      </w:pPr>
      <w:r>
        <w:rPr>
          <w:rFonts w:hint="eastAsia" w:ascii="仿宋" w:hAnsi="仿宋" w:eastAsia="仿宋" w:cs="仿宋"/>
          <w:sz w:val="32"/>
          <w:szCs w:val="32"/>
        </w:rPr>
        <w:t>3、完善制度抓落实。加强财务人员培训，提高财务人员业务素质。坚持问题导向，大兴调查研究之风，坚持到基层一线解决问题，打通"最后一公里"。坚持服务企业、服务群众、服务基层，问计于企、问计于民，增强工作的针对性和实效性。从严从紧控制一般性支出，确保“三公”经费“只减不增”。加强预算绩效管理，提高财政资金使用效率。开展绩效运行监控，确保绩效目标如期保质完成。开展部门预算绩效自评工作，对评价中发现的问题及时整改，调整优化支出结构，提高财政资金使用效益。</w:t>
      </w:r>
    </w:p>
    <w:p>
      <w:pPr>
        <w:overflowPunct w:val="0"/>
        <w:adjustRightInd w:val="0"/>
        <w:snapToGrid w:val="0"/>
        <w:spacing w:afterLines="50" w:line="584" w:lineRule="exact"/>
        <w:ind w:firstLine="627" w:firstLineChars="196"/>
        <w:jc w:val="left"/>
        <w:rPr>
          <w:rFonts w:hint="eastAsia" w:ascii="仿宋" w:hAnsi="仿宋" w:eastAsia="仿宋" w:cs="仿宋"/>
          <w:sz w:val="32"/>
          <w:szCs w:val="32"/>
          <w:lang w:val="en-US" w:eastAsia="zh-CN"/>
        </w:rPr>
      </w:pPr>
      <w:r>
        <w:rPr>
          <w:rFonts w:hint="eastAsia" w:ascii="仿宋" w:hAnsi="仿宋" w:eastAsia="仿宋" w:cs="仿宋"/>
          <w:sz w:val="32"/>
          <w:szCs w:val="32"/>
        </w:rPr>
        <w:t>4、履行全面从严治党主体责任。严格“一岗双责”，落实党风廉政建设责任制，把抓党建工作与业务工作同部署、同落实、同检查、同考核。抓好干部队伍信念教育、廉政教育和道德教育，加强对干部思想、工作、作风、纪律的全方位管理。持之以恒正风肃纪，严防发生侵害群众利益的不正之风、腐败行为和“小官贪腐”等问题。坚持用制度管事，加强廉政风险防控规范化建设和动态管理，结合具体工作制订更细更实、可操作可考核的措施，着力构建廉政风险防控长效机制，促进权力规范运行。</w:t>
      </w:r>
      <w:r>
        <w:rPr>
          <w:rFonts w:hint="eastAsia" w:ascii="仿宋" w:hAnsi="仿宋" w:eastAsia="仿宋" w:cs="仿宋"/>
          <w:sz w:val="32"/>
          <w:szCs w:val="32"/>
          <w:lang w:val="en-US" w:eastAsia="zh-CN"/>
        </w:rPr>
        <w:t xml:space="preserve">  </w:t>
      </w:r>
    </w:p>
    <w:p>
      <w:pPr>
        <w:overflowPunct w:val="0"/>
        <w:adjustRightInd w:val="0"/>
        <w:snapToGrid w:val="0"/>
        <w:spacing w:afterLines="50" w:line="584" w:lineRule="exact"/>
        <w:ind w:firstLine="627" w:firstLineChars="196"/>
        <w:jc w:val="left"/>
        <w:rPr>
          <w:rFonts w:hint="eastAsia" w:ascii="仿宋" w:hAnsi="仿宋" w:eastAsia="仿宋" w:cs="仿宋"/>
          <w:sz w:val="32"/>
          <w:szCs w:val="32"/>
          <w:lang w:val="en-US" w:eastAsia="zh-CN"/>
        </w:rPr>
      </w:pPr>
    </w:p>
    <w:p>
      <w:pPr>
        <w:overflowPunct w:val="0"/>
        <w:adjustRightInd w:val="0"/>
        <w:snapToGrid w:val="0"/>
        <w:spacing w:afterLines="50" w:line="584" w:lineRule="exact"/>
        <w:ind w:firstLine="627" w:firstLineChars="196"/>
        <w:jc w:val="left"/>
        <w:rPr>
          <w:rFonts w:hint="eastAsia" w:ascii="仿宋" w:hAnsi="仿宋" w:eastAsia="仿宋" w:cs="仿宋"/>
          <w:sz w:val="32"/>
          <w:szCs w:val="32"/>
          <w:lang w:val="en-US" w:eastAsia="zh-CN"/>
        </w:rPr>
      </w:pPr>
    </w:p>
    <w:p>
      <w:pPr>
        <w:overflowPunct w:val="0"/>
        <w:adjustRightInd w:val="0"/>
        <w:snapToGrid w:val="0"/>
        <w:spacing w:afterLines="50" w:line="584" w:lineRule="exact"/>
        <w:ind w:firstLine="627" w:firstLineChars="196"/>
        <w:jc w:val="left"/>
        <w:rPr>
          <w:rFonts w:hint="eastAsia" w:ascii="仿宋" w:hAnsi="仿宋" w:eastAsia="仿宋" w:cs="仿宋"/>
          <w:sz w:val="32"/>
          <w:szCs w:val="32"/>
          <w:lang w:val="en-US" w:eastAsia="zh-CN"/>
        </w:rPr>
      </w:pPr>
    </w:p>
    <w:p>
      <w:pPr>
        <w:overflowPunct w:val="0"/>
        <w:adjustRightInd w:val="0"/>
        <w:snapToGrid w:val="0"/>
        <w:spacing w:afterLines="50" w:line="584" w:lineRule="exact"/>
        <w:ind w:firstLine="627" w:firstLineChars="196"/>
        <w:jc w:val="left"/>
        <w:rPr>
          <w:rFonts w:ascii="楷体_GB2312" w:eastAsia="楷体_GB2312" w:cs="Times New Roman"/>
          <w:b/>
          <w:sz w:val="32"/>
          <w:szCs w:val="32"/>
        </w:rPr>
      </w:pPr>
      <w:r>
        <w:rPr>
          <w:rFonts w:hint="eastAsia" w:ascii="仿宋" w:hAnsi="仿宋" w:eastAsia="仿宋" w:cs="仿宋"/>
          <w:sz w:val="32"/>
          <w:szCs w:val="32"/>
          <w:lang w:val="en-US" w:eastAsia="zh-CN"/>
        </w:rPr>
        <w:t xml:space="preserve">    </w:t>
      </w: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天数</w:t>
            </w: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大于等于360天为优小于360天为良小于358天为差</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大气大气污染防治正常运转天数</w:t>
            </w:r>
          </w:p>
          <w:p>
            <w:pPr>
              <w:widowControl/>
              <w:adjustRightInd w:val="0"/>
              <w:snapToGrid w:val="0"/>
              <w:jc w:val="center"/>
              <w:rPr>
                <w:rFonts w:ascii="方正书宋_GBK" w:eastAsia="方正书宋_GBK"/>
              </w:rPr>
            </w:pPr>
            <w:r>
              <w:rPr>
                <w:rFonts w:hint="eastAsia" w:ascii="方正书宋_GBK" w:eastAsia="方正书宋_GBK"/>
              </w:rPr>
              <w:t>防治正常运转天数</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360</w:t>
            </w: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天</w:t>
            </w:r>
          </w:p>
        </w:tc>
        <w:tc>
          <w:tcPr>
            <w:tcW w:w="1277"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正常运转率</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大于等于95%为优小于95%为良小于94%为差</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正常运转率</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百分比</w:t>
            </w:r>
          </w:p>
        </w:tc>
        <w:tc>
          <w:tcPr>
            <w:tcW w:w="127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各项任务完成及时率</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大于等于95%为优小于95%为良小于94%为差</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各项任务完成及时率</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百分比</w:t>
            </w:r>
          </w:p>
        </w:tc>
        <w:tc>
          <w:tcPr>
            <w:tcW w:w="127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预算执行率</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大于等于95%为优小于95%为良小于94%为差</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预算执行率</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百分比</w:t>
            </w:r>
          </w:p>
        </w:tc>
        <w:tc>
          <w:tcPr>
            <w:tcW w:w="127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提升服务能力</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2172"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大于等于95%为优小于95%为良小于94%为差</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148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提升服务能力</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百分比</w:t>
            </w:r>
          </w:p>
        </w:tc>
        <w:tc>
          <w:tcPr>
            <w:tcW w:w="127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spacing w:line="584" w:lineRule="exact"/>
              <w:rPr>
                <w:rFonts w:ascii="方正书宋_GBK" w:eastAsia="方正书宋_GBK"/>
              </w:rPr>
            </w:pPr>
          </w:p>
        </w:tc>
        <w:tc>
          <w:tcPr>
            <w:tcW w:w="2172" w:type="dxa"/>
            <w:tcBorders>
              <w:tl2br w:val="nil"/>
              <w:tr2bl w:val="nil"/>
            </w:tcBorders>
            <w:vAlign w:val="center"/>
          </w:tcPr>
          <w:p>
            <w:pPr>
              <w:widowControl/>
              <w:adjustRightInd w:val="0"/>
              <w:snapToGrid w:val="0"/>
              <w:spacing w:line="584" w:lineRule="exact"/>
              <w:rPr>
                <w:rFonts w:ascii="方正书宋_GBK" w:eastAsia="方正书宋_GBK"/>
              </w:rPr>
            </w:pPr>
          </w:p>
        </w:tc>
        <w:tc>
          <w:tcPr>
            <w:tcW w:w="1483" w:type="dxa"/>
            <w:tcBorders>
              <w:tl2br w:val="nil"/>
              <w:tr2bl w:val="nil"/>
            </w:tcBorders>
            <w:vAlign w:val="center"/>
          </w:tcPr>
          <w:p>
            <w:pPr>
              <w:widowControl/>
              <w:adjustRightInd w:val="0"/>
              <w:snapToGrid w:val="0"/>
              <w:spacing w:line="584" w:lineRule="exact"/>
              <w:rPr>
                <w:rFonts w:ascii="方正书宋_GBK" w:eastAsia="方正书宋_GBK"/>
              </w:rPr>
            </w:pPr>
          </w:p>
        </w:tc>
        <w:tc>
          <w:tcPr>
            <w:tcW w:w="543" w:type="dxa"/>
            <w:tcBorders>
              <w:tl2br w:val="nil"/>
              <w:tr2bl w:val="nil"/>
            </w:tcBorders>
            <w:vAlign w:val="center"/>
          </w:tcPr>
          <w:p>
            <w:pPr>
              <w:widowControl/>
              <w:adjustRightInd w:val="0"/>
              <w:snapToGrid w:val="0"/>
              <w:spacing w:line="584" w:lineRule="exact"/>
              <w:rPr>
                <w:rFonts w:ascii="方正书宋_GBK" w:eastAsia="方正书宋_GBK"/>
              </w:rPr>
            </w:pPr>
          </w:p>
        </w:tc>
        <w:tc>
          <w:tcPr>
            <w:tcW w:w="488" w:type="dxa"/>
            <w:tcBorders>
              <w:tl2br w:val="nil"/>
              <w:tr2bl w:val="nil"/>
            </w:tcBorders>
            <w:vAlign w:val="center"/>
          </w:tcPr>
          <w:p>
            <w:pPr>
              <w:widowControl/>
              <w:adjustRightInd w:val="0"/>
              <w:snapToGrid w:val="0"/>
              <w:spacing w:line="584" w:lineRule="exact"/>
              <w:rPr>
                <w:rFonts w:ascii="方正书宋_GBK" w:eastAsia="方正书宋_GBK"/>
              </w:rPr>
            </w:pPr>
          </w:p>
        </w:tc>
        <w:tc>
          <w:tcPr>
            <w:tcW w:w="573" w:type="dxa"/>
            <w:tcBorders>
              <w:tl2br w:val="nil"/>
              <w:tr2bl w:val="nil"/>
            </w:tcBorders>
            <w:vAlign w:val="center"/>
          </w:tcPr>
          <w:p>
            <w:pPr>
              <w:widowControl/>
              <w:adjustRightInd w:val="0"/>
              <w:snapToGrid w:val="0"/>
              <w:spacing w:line="584" w:lineRule="exact"/>
              <w:rPr>
                <w:rFonts w:ascii="方正书宋_GBK" w:eastAsia="方正书宋_GBK"/>
              </w:rPr>
            </w:pPr>
          </w:p>
        </w:tc>
        <w:tc>
          <w:tcPr>
            <w:tcW w:w="1277"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项目持续发挥作用期限</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等于12个月为优小于12个月为良小于11个月为差</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1483"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项目持续发挥作用期限</w:t>
            </w:r>
          </w:p>
          <w:p>
            <w:pPr>
              <w:widowControl/>
              <w:adjustRightInd w:val="0"/>
              <w:snapToGrid w:val="0"/>
              <w:jc w:val="center"/>
              <w:rPr>
                <w:rFonts w:ascii="方正书宋_GBK" w:eastAsia="方正书宋_GBK" w:hAnsiTheme="minorHAnsi" w:cstheme="minorBidi"/>
                <w:kern w:val="2"/>
                <w:sz w:val="21"/>
                <w:szCs w:val="22"/>
                <w:lang w:val="en-US" w:eastAsia="zh-CN" w:bidi="ar-SA"/>
              </w:rPr>
            </w:pPr>
          </w:p>
        </w:tc>
        <w:tc>
          <w:tcPr>
            <w:tcW w:w="54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12</w:t>
            </w:r>
          </w:p>
        </w:tc>
        <w:tc>
          <w:tcPr>
            <w:tcW w:w="573" w:type="dxa"/>
            <w:tcBorders>
              <w:tl2br w:val="nil"/>
              <w:tr2bl w:val="nil"/>
            </w:tcBorders>
            <w:vAlign w:val="center"/>
          </w:tcPr>
          <w:p>
            <w:pPr>
              <w:widowControl/>
              <w:adjustRightInd w:val="0"/>
              <w:snapToGrid w:val="0"/>
              <w:jc w:val="center"/>
              <w:rPr>
                <w:rFonts w:ascii="方正书宋_GBK" w:eastAsia="方正书宋_GBK" w:hAnsiTheme="minorHAnsi" w:cstheme="minorBidi"/>
                <w:kern w:val="2"/>
                <w:sz w:val="21"/>
                <w:szCs w:val="22"/>
                <w:lang w:val="en-US" w:eastAsia="zh-CN" w:bidi="ar-SA"/>
              </w:rPr>
            </w:pPr>
            <w:r>
              <w:rPr>
                <w:rFonts w:hint="eastAsia" w:ascii="方正书宋_GBK" w:eastAsia="方正书宋_GBK"/>
              </w:rPr>
              <w:t>月</w:t>
            </w:r>
          </w:p>
        </w:tc>
        <w:tc>
          <w:tcPr>
            <w:tcW w:w="127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对象满意度</w:t>
            </w:r>
          </w:p>
          <w:p>
            <w:pPr>
              <w:widowControl/>
              <w:adjustRightInd w:val="0"/>
              <w:snapToGrid w:val="0"/>
              <w:jc w:val="center"/>
              <w:rPr>
                <w:rFonts w:ascii="方正书宋_GBK" w:eastAsia="方正书宋_GBK"/>
              </w:rPr>
            </w:pPr>
          </w:p>
        </w:tc>
        <w:tc>
          <w:tcPr>
            <w:tcW w:w="2172"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大于等于95%为优小于95%为良小于94%为差</w:t>
            </w:r>
          </w:p>
          <w:p>
            <w:pPr>
              <w:widowControl/>
              <w:adjustRightInd w:val="0"/>
              <w:snapToGrid w:val="0"/>
              <w:jc w:val="center"/>
              <w:rPr>
                <w:rFonts w:ascii="方正书宋_GBK" w:eastAsia="方正书宋_GBK"/>
              </w:rPr>
            </w:pPr>
          </w:p>
        </w:tc>
        <w:tc>
          <w:tcPr>
            <w:tcW w:w="1483"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对象满意度</w:t>
            </w:r>
          </w:p>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95</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277"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实际情况</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差旅费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b/>
              </w:rPr>
              <w:t>工作运行达到高效执行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出差次数</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出差次数</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≥30次</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正常运转率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正常运转率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各项任务完成及时率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各项任务完成及时率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7.1万元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服务单位部门</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服务单位部门</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使用年限</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使用年限</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1年</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村党组织活动经费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村街数量</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32个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村组织运转</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当年完成率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受益人口</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≥30000人</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村街建设实用性</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村级组织办公经费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村街数量</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32个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村组织运转</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当年完成率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受益人口</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≥30000人</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村街建设实用性</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村街（社区）“两委”干部补贴</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发放人数</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发放人数</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65个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工资发放率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发放工资的完成率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及时性</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发放工资是否及时</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项目的实际成本</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保证工资奖金的所需资金</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22.59万元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保证村街持续发展积极影响的占比情况</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对村街产生积极影响的占比情况</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满意率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村街相关人员满意率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村街（社区）“两委”干部补贴</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补助村街数量</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受补助村街数量</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32个</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村街花名册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补贴足额发放率</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补贴足额发放数量占总数量比率</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发放凭证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补贴按时发放率</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补贴按时发放数量占数量的比率</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≥100百分比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银行回单时间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各村街月平均发放补贴数</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各村街月平均发放补贴数</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≥11.37万元</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票据凭证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社会影响力</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对村街产生积极影响的占比情况</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≥98百分比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可持续影响指标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村街两委补贴发放时间</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村街两委补贴发放时间</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12月</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账簿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受益群众满意度</w:t>
            </w:r>
          </w:p>
        </w:tc>
        <w:tc>
          <w:tcPr>
            <w:tcW w:w="3402"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受益群众满意度</w:t>
            </w:r>
          </w:p>
        </w:tc>
        <w:tc>
          <w:tcPr>
            <w:tcW w:w="1843"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98百分比</w:t>
            </w:r>
          </w:p>
        </w:tc>
        <w:tc>
          <w:tcPr>
            <w:tcW w:w="2155" w:type="dxa"/>
            <w:shd w:val="clear" w:color="auto" w:fill="auto"/>
            <w:vAlign w:val="center"/>
          </w:tcPr>
          <w:p>
            <w:pPr>
              <w:spacing w:line="300" w:lineRule="exact"/>
              <w:jc w:val="center"/>
              <w:rPr>
                <w:rFonts w:ascii="Times New Roman" w:hAnsi="Times New Roman" w:eastAsia="仿宋_GB2312" w:cs="Times New Roman"/>
                <w:lang w:val="en-US" w:eastAsia="zh-CN"/>
              </w:rPr>
            </w:pPr>
            <w:r>
              <w:rPr>
                <w:rFonts w:ascii="Times New Roman" w:hAnsi="Times New Roman" w:eastAsia="仿宋_GB2312" w:cs="Times New Roman"/>
              </w:rPr>
              <w:t>实际情况</w:t>
            </w:r>
          </w:p>
        </w:tc>
      </w:tr>
    </w:tbl>
    <w:p>
      <w:pPr>
        <w:spacing w:line="300" w:lineRule="exact"/>
        <w:jc w:val="center"/>
        <w:rPr>
          <w:rFonts w:ascii="Times New Roman" w:hAnsi="Times New Roman" w:eastAsia="仿宋_GB2312" w:cs="Times New Roma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村民小组长误工补贴</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村街数量</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32个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辖区内村街的日常公用及项目运转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村组织运转</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运转经费改善村级建设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当年完成率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按照村街安排合理支出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受益人口</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≥30000人</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村街受益人口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村街建设实用性</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能够满足村街居民对生活质量的需求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村民满意度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服务群众专项经费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服务数量</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32个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实际清理村街数量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受益人事</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受益人事</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≥35000人</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12月份</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w:t>
      </w:r>
      <w:r>
        <w:rPr>
          <w:rFonts w:hint="eastAsia" w:ascii="Times New Roman" w:hAnsi="Times New Roman" w:eastAsia="仿宋_GB2312" w:cs="Times New Roman"/>
          <w:sz w:val="28"/>
        </w:rPr>
        <w:t>公务接待费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执行公开率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执行公开率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协调督导事项化解率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协调督导事项化解率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工作完成及时率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工作完成及时率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150万元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w:t>
      </w:r>
      <w:r>
        <w:rPr>
          <w:rFonts w:hint="eastAsia" w:ascii="Times New Roman" w:hAnsi="Times New Roman" w:eastAsia="仿宋_GB2312" w:cs="Times New Roman"/>
          <w:sz w:val="28"/>
        </w:rPr>
        <w:t>公用经费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督办事项</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全年办公事项</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实际办理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合格率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具体事项完成时间</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业务实施计划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服务单位部门</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服务单位部门</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使用年限</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工作经费使用年限</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1年</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部门满意度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w:t>
      </w:r>
      <w:r>
        <w:rPr>
          <w:rFonts w:hint="eastAsia" w:ascii="Times New Roman" w:hAnsi="Times New Roman" w:eastAsia="仿宋_GB2312" w:cs="Times New Roman"/>
          <w:sz w:val="28"/>
        </w:rPr>
        <w:t>河道内村庄搬迁临时过渡安置资金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服务数量</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370.88万元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受益户数</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受益村街数</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w:t>
      </w:r>
      <w:r>
        <w:rPr>
          <w:rFonts w:hint="eastAsia" w:ascii="Times New Roman" w:hAnsi="Times New Roman" w:eastAsia="仿宋_GB2312" w:cs="Times New Roman"/>
          <w:sz w:val="28"/>
        </w:rPr>
        <w:t>会议费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执行公开率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执行公开率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协调督导事项化解率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协调督导事项化解率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工作完成及时率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工作完成及时率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150万元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12</w:t>
      </w:r>
      <w:r>
        <w:rPr>
          <w:rFonts w:ascii="Times New Roman" w:hAnsi="Times New Roman" w:eastAsia="仿宋_GB2312" w:cs="Times New Roman"/>
          <w:sz w:val="28"/>
        </w:rPr>
        <w:t>.</w:t>
      </w:r>
      <w:r>
        <w:rPr>
          <w:rFonts w:hint="eastAsia" w:ascii="Times New Roman" w:hAnsi="Times New Roman" w:eastAsia="仿宋_GB2312" w:cs="Times New Roman"/>
          <w:sz w:val="28"/>
        </w:rPr>
        <w:t>绩效奖金</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≥180人</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590万元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≥98百分比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13</w:t>
      </w:r>
      <w:r>
        <w:rPr>
          <w:rFonts w:ascii="Times New Roman" w:hAnsi="Times New Roman" w:eastAsia="仿宋_GB2312" w:cs="Times New Roman"/>
          <w:sz w:val="28"/>
        </w:rPr>
        <w:t>.</w:t>
      </w:r>
      <w:r>
        <w:rPr>
          <w:rFonts w:hint="eastAsia" w:ascii="Times New Roman" w:hAnsi="Times New Roman" w:eastAsia="仿宋_GB2312" w:cs="Times New Roman"/>
          <w:sz w:val="28"/>
        </w:rPr>
        <w:t>劳务费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享受工资福利的人数</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享受工资福利的人数</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≥130人</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根据实际运转天数确定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日常各项工作完成率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日常各项工作完成率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根据实际工作完成情况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按期完成率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按期完成率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保障基层工作正常运转时间</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保障基层工作正常运转时间</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根据运转时间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可持续影响期限</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可持续影响期限</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职工满意度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职工满意度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群众满意度占比</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14</w:t>
      </w:r>
      <w:r>
        <w:rPr>
          <w:rFonts w:ascii="Times New Roman" w:hAnsi="Times New Roman" w:eastAsia="仿宋_GB2312" w:cs="Times New Roman"/>
          <w:sz w:val="28"/>
        </w:rPr>
        <w:t>.</w:t>
      </w:r>
      <w:r>
        <w:rPr>
          <w:rFonts w:hint="eastAsia" w:ascii="Times New Roman" w:hAnsi="Times New Roman" w:eastAsia="仿宋_GB2312" w:cs="Times New Roman"/>
          <w:sz w:val="28"/>
        </w:rPr>
        <w:t>劳务费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≥90人</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255万元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15</w:t>
      </w:r>
      <w:r>
        <w:rPr>
          <w:rFonts w:ascii="Times New Roman" w:hAnsi="Times New Roman" w:eastAsia="仿宋_GB2312" w:cs="Times New Roman"/>
          <w:sz w:val="28"/>
        </w:rPr>
        <w:t>.</w:t>
      </w:r>
      <w:r>
        <w:rPr>
          <w:rFonts w:hint="eastAsia" w:ascii="Times New Roman" w:hAnsi="Times New Roman" w:eastAsia="仿宋_GB2312" w:cs="Times New Roman"/>
          <w:sz w:val="28"/>
        </w:rPr>
        <w:t>人大代表联络站经费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活动次数</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人大活动开展次数</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≥10次数</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开展活动的主题优良率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开展关切社会民生的活动</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活动主题优良率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活动安排频率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活动安排的经常性切实为百姓做实事</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活动安排次数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按照预算执行</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在辖区内的重要影响，得到广泛认可。</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社会影响力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联系群众的桥梁</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联络站能更好的让人大代表执行职务</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联系群众的桥梁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16</w:t>
      </w:r>
      <w:r>
        <w:rPr>
          <w:rFonts w:ascii="Times New Roman" w:hAnsi="Times New Roman" w:eastAsia="仿宋_GB2312" w:cs="Times New Roman"/>
          <w:sz w:val="28"/>
        </w:rPr>
        <w:t>.</w:t>
      </w:r>
      <w:r>
        <w:rPr>
          <w:rFonts w:hint="eastAsia" w:ascii="Times New Roman" w:hAnsi="Times New Roman" w:eastAsia="仿宋_GB2312" w:cs="Times New Roman"/>
          <w:sz w:val="28"/>
        </w:rPr>
        <w:t>土地补偿款</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服务数量</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服务村街数量</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实际清理村街数量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验收合格率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预算完成率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按照预算完成情况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受益村街</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受益村街</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17</w:t>
      </w:r>
      <w:r>
        <w:rPr>
          <w:rFonts w:ascii="Times New Roman" w:hAnsi="Times New Roman" w:eastAsia="仿宋_GB2312" w:cs="Times New Roman"/>
          <w:sz w:val="28"/>
        </w:rPr>
        <w:t>.</w:t>
      </w:r>
      <w:r>
        <w:rPr>
          <w:rFonts w:hint="eastAsia" w:ascii="Times New Roman" w:hAnsi="Times New Roman" w:eastAsia="仿宋_GB2312" w:cs="Times New Roman"/>
          <w:sz w:val="28"/>
        </w:rPr>
        <w:t>委托业务费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受益单位</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受益单位</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≥3人</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完成时间</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49万元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保障单位工作正常运行时间</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18</w:t>
      </w:r>
      <w:r>
        <w:rPr>
          <w:rFonts w:ascii="Times New Roman" w:hAnsi="Times New Roman" w:eastAsia="仿宋_GB2312" w:cs="Times New Roman"/>
          <w:sz w:val="28"/>
        </w:rPr>
        <w:t>.</w:t>
      </w:r>
      <w:r>
        <w:rPr>
          <w:rFonts w:hint="eastAsia" w:ascii="Times New Roman" w:hAnsi="Times New Roman" w:eastAsia="仿宋_GB2312" w:cs="Times New Roman"/>
          <w:sz w:val="28"/>
        </w:rPr>
        <w:t>一至六级伤残军人医疗补助</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受益人数</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3人</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≥99百分比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完成时限</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完成时限</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12月份</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人均补助标准</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人均补助标准</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0.5万元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受益人口数量</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受益人口数量</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3人</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工作完成率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≥99百分比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≥99百分比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19</w:t>
      </w:r>
      <w:r>
        <w:rPr>
          <w:rFonts w:ascii="Times New Roman" w:hAnsi="Times New Roman" w:eastAsia="仿宋_GB2312" w:cs="Times New Roman"/>
          <w:sz w:val="28"/>
        </w:rPr>
        <w:t>.</w:t>
      </w:r>
      <w:r>
        <w:rPr>
          <w:rFonts w:hint="eastAsia" w:ascii="Times New Roman" w:hAnsi="Times New Roman" w:eastAsia="仿宋_GB2312" w:cs="Times New Roman"/>
          <w:sz w:val="28"/>
        </w:rPr>
        <w:t>园区开发建设（含总部经济扶持）资金（本级）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执行标的到位率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执行标的到位率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业务工作完成率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业务工作完成率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资金发放准时率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资金发放准时率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10000万元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创新工作完成率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项目建成效果</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项目建成效果</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群众满意度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20</w:t>
      </w:r>
      <w:r>
        <w:rPr>
          <w:rFonts w:ascii="Times New Roman" w:hAnsi="Times New Roman" w:eastAsia="仿宋_GB2312" w:cs="Times New Roman"/>
          <w:sz w:val="28"/>
        </w:rPr>
        <w:t>.</w:t>
      </w:r>
      <w:r>
        <w:rPr>
          <w:rFonts w:hint="eastAsia" w:ascii="Times New Roman" w:hAnsi="Times New Roman" w:eastAsia="仿宋_GB2312" w:cs="Times New Roman"/>
          <w:sz w:val="28"/>
        </w:rPr>
        <w:t>园区开发建设资金（本级）</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基础设施建设面积</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基础设施建设面积</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≥88平方公里</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实地勘测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基础设施项目验收合格率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基础设施项目验收合格率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工程完工时间</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工程完工时间</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≥24月</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施工计划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项目预算拨付数</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项目预算拨付数</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3000万元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服务区域内企业</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服务区域内企业</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≥70个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企业数量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可持续性服务</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≥5年</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客户满意度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客户满意度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21</w:t>
      </w:r>
      <w:r>
        <w:rPr>
          <w:rFonts w:ascii="Times New Roman" w:hAnsi="Times New Roman" w:eastAsia="仿宋_GB2312" w:cs="Times New Roman"/>
          <w:sz w:val="28"/>
        </w:rPr>
        <w:t>.</w:t>
      </w:r>
      <w:r>
        <w:rPr>
          <w:rFonts w:hint="eastAsia" w:ascii="Times New Roman" w:hAnsi="Times New Roman" w:eastAsia="仿宋_GB2312" w:cs="Times New Roman"/>
          <w:sz w:val="28"/>
        </w:rPr>
        <w:t>招商引资经费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数量指标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发布外经贸信息数</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发布外经贸信息数</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≥300个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质量指标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展览项目增长率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展览项目增长率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时效指标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项目申请与立项按期完成率</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项目申请与立项按期完成率</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成本指标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财政拨付</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20万元</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社会效益指标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经贸活动知名度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经贸活动知名度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可持续影响指标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实际参会企业</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实际参会企业</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≥150个</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服务对象满意度指标</w:t>
            </w:r>
          </w:p>
        </w:tc>
        <w:tc>
          <w:tcPr>
            <w:tcW w:w="198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企业满意度</w:t>
            </w:r>
          </w:p>
        </w:tc>
        <w:tc>
          <w:tcPr>
            <w:tcW w:w="3402"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企业满意度</w:t>
            </w:r>
          </w:p>
        </w:tc>
        <w:tc>
          <w:tcPr>
            <w:tcW w:w="1843"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≥95百分比</w:t>
            </w:r>
          </w:p>
        </w:tc>
        <w:tc>
          <w:tcPr>
            <w:tcW w:w="2155" w:type="dxa"/>
            <w:shd w:val="clear" w:color="auto" w:fill="auto"/>
            <w:vAlign w:val="center"/>
          </w:tcPr>
          <w:p>
            <w:pPr>
              <w:pStyle w:val="18"/>
              <w:ind w:firstLine="0" w:firstLineChars="0"/>
              <w:rPr>
                <w:rFonts w:ascii="Times New Roman" w:hAnsi="Times New Roman" w:eastAsia="仿宋_GB2312" w:cs="Times New Roman"/>
                <w:kern w:val="2"/>
                <w:sz w:val="21"/>
                <w:szCs w:val="22"/>
                <w:lang w:val="en-US" w:eastAsia="zh-CN" w:bidi="ar-SA"/>
              </w:rPr>
            </w:pPr>
            <w:r>
              <w:rPr>
                <w:rFonts w:ascii="Times New Roman" w:hAnsi="Times New Roman" w:eastAsia="仿宋_GB2312" w:cs="Times New Roman"/>
                <w:kern w:val="2"/>
                <w:sz w:val="21"/>
                <w:szCs w:val="22"/>
                <w:lang w:val="en-US" w:eastAsia="zh-CN" w:bidi="ar-SA"/>
              </w:rPr>
              <w:t>实际情况</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2022年，我部门安排政府采购预算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spacing w:line="584" w:lineRule="exact"/>
        <w:outlineLvl w:val="1"/>
        <w:rPr>
          <w:rFonts w:ascii="方正小标宋_GBK" w:eastAsia="方正小标宋_GBK" w:cs="Times New Roman"/>
          <w:sz w:val="32"/>
        </w:rPr>
      </w:pPr>
      <w:r>
        <w:rPr>
          <w:rFonts w:hint="eastAsia"/>
          <w:lang w:eastAsia="zh-CN"/>
        </w:rPr>
        <w:t>河北香河经济开发区管理委员会</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jc w:val="center"/>
              <w:rPr>
                <w:rFonts w:hint="eastAsia" w:eastAsia="方正书宋_GBK"/>
                <w:lang w:val="en-US" w:eastAsia="zh-CN"/>
              </w:rPr>
            </w:pPr>
            <w:r>
              <w:rPr>
                <w:rFonts w:hint="eastAsia"/>
                <w:lang w:val="en-US" w:eastAsia="zh-CN"/>
              </w:rPr>
              <w:t>0</w:t>
            </w:r>
          </w:p>
        </w:tc>
        <w:tc>
          <w:tcPr>
            <w:tcW w:w="1134" w:type="dxa"/>
            <w:vAlign w:val="center"/>
          </w:tcPr>
          <w:p>
            <w:pPr>
              <w:pStyle w:val="22"/>
              <w:spacing w:line="584" w:lineRule="exact"/>
              <w:jc w:val="center"/>
            </w:pPr>
          </w:p>
        </w:tc>
        <w:tc>
          <w:tcPr>
            <w:tcW w:w="1134" w:type="dxa"/>
            <w:vAlign w:val="center"/>
          </w:tcPr>
          <w:p>
            <w:pPr>
              <w:pStyle w:val="22"/>
              <w:spacing w:line="584" w:lineRule="exact"/>
              <w:jc w:val="center"/>
            </w:pPr>
          </w:p>
        </w:tc>
        <w:tc>
          <w:tcPr>
            <w:tcW w:w="709" w:type="dxa"/>
            <w:vAlign w:val="center"/>
          </w:tcPr>
          <w:p>
            <w:pPr>
              <w:pStyle w:val="20"/>
              <w:spacing w:line="584" w:lineRule="exact"/>
              <w:jc w:val="center"/>
            </w:pPr>
          </w:p>
        </w:tc>
        <w:tc>
          <w:tcPr>
            <w:tcW w:w="850" w:type="dxa"/>
            <w:vAlign w:val="center"/>
          </w:tcPr>
          <w:p>
            <w:pPr>
              <w:pStyle w:val="21"/>
              <w:spacing w:line="584" w:lineRule="exact"/>
              <w:jc w:val="center"/>
            </w:pPr>
          </w:p>
        </w:tc>
        <w:tc>
          <w:tcPr>
            <w:tcW w:w="850" w:type="dxa"/>
            <w:vAlign w:val="center"/>
          </w:tcPr>
          <w:p>
            <w:pPr>
              <w:pStyle w:val="21"/>
              <w:spacing w:line="584" w:lineRule="exact"/>
              <w:jc w:val="center"/>
            </w:pPr>
          </w:p>
        </w:tc>
        <w:tc>
          <w:tcPr>
            <w:tcW w:w="964" w:type="dxa"/>
            <w:vAlign w:val="center"/>
          </w:tcPr>
          <w:p>
            <w:pPr>
              <w:pStyle w:val="21"/>
              <w:spacing w:line="584" w:lineRule="exact"/>
              <w:jc w:val="center"/>
              <w:rPr>
                <w:rFonts w:hint="eastAsia" w:eastAsia="方正书宋_GBK"/>
                <w:lang w:val="en-US" w:eastAsia="zh-CN"/>
              </w:rPr>
            </w:pPr>
            <w:r>
              <w:rPr>
                <w:rFonts w:hint="eastAsia"/>
                <w:lang w:val="en-US" w:eastAsia="zh-CN"/>
              </w:rPr>
              <w:t>0</w:t>
            </w: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黑体" w:eastAsia="黑体" w:cs="Times New Roman"/>
          <w:sz w:val="32"/>
          <w:szCs w:val="32"/>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河北香河经济开发区管理委员会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2377.585530</w:t>
      </w:r>
      <w:r>
        <w:rPr>
          <w:rFonts w:ascii="Times New Roman" w:hAnsi="Times New Roman" w:eastAsia="仿宋_GB2312" w:cs="Times New Roman"/>
          <w:sz w:val="32"/>
          <w:szCs w:val="32"/>
        </w:rPr>
        <w:t>万元，本年度我部门拟购置固定资产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河北香河经济开发区管理委员会</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河北香河经济开发区管理委员会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1526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2377.585530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13042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1469.867419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7870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981.0109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129.556182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1514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778.161929</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6AD"/>
    <w:rsid w:val="000053CC"/>
    <w:rsid w:val="00005DD8"/>
    <w:rsid w:val="00007292"/>
    <w:rsid w:val="00007A31"/>
    <w:rsid w:val="0002784C"/>
    <w:rsid w:val="0003697D"/>
    <w:rsid w:val="00037AF6"/>
    <w:rsid w:val="0004565F"/>
    <w:rsid w:val="00054E2D"/>
    <w:rsid w:val="00072187"/>
    <w:rsid w:val="00075D5F"/>
    <w:rsid w:val="0008180F"/>
    <w:rsid w:val="00082B29"/>
    <w:rsid w:val="00086C72"/>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44DB"/>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3E3100"/>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AD4"/>
    <w:rsid w:val="00A16E6C"/>
    <w:rsid w:val="00A40F60"/>
    <w:rsid w:val="00A44E3D"/>
    <w:rsid w:val="00A45598"/>
    <w:rsid w:val="00A72D2E"/>
    <w:rsid w:val="00A736A7"/>
    <w:rsid w:val="00A74447"/>
    <w:rsid w:val="00A74CE5"/>
    <w:rsid w:val="00A77500"/>
    <w:rsid w:val="00A775D6"/>
    <w:rsid w:val="00A8536F"/>
    <w:rsid w:val="00A911E7"/>
    <w:rsid w:val="00A92170"/>
    <w:rsid w:val="00A939D9"/>
    <w:rsid w:val="00AB77AA"/>
    <w:rsid w:val="00AC1794"/>
    <w:rsid w:val="00AC3370"/>
    <w:rsid w:val="00AC4748"/>
    <w:rsid w:val="00AD5259"/>
    <w:rsid w:val="00AE1A02"/>
    <w:rsid w:val="00AF12E7"/>
    <w:rsid w:val="00B01D36"/>
    <w:rsid w:val="00B02FF0"/>
    <w:rsid w:val="00B061E8"/>
    <w:rsid w:val="00B078CD"/>
    <w:rsid w:val="00B20712"/>
    <w:rsid w:val="00B43238"/>
    <w:rsid w:val="00B45DD3"/>
    <w:rsid w:val="00B519A4"/>
    <w:rsid w:val="00B54B90"/>
    <w:rsid w:val="00B64FA8"/>
    <w:rsid w:val="00B73582"/>
    <w:rsid w:val="00B75216"/>
    <w:rsid w:val="00B755A2"/>
    <w:rsid w:val="00B75C1E"/>
    <w:rsid w:val="00B82472"/>
    <w:rsid w:val="00B9104C"/>
    <w:rsid w:val="00B91D52"/>
    <w:rsid w:val="00B9490F"/>
    <w:rsid w:val="00BA0016"/>
    <w:rsid w:val="00BA1ACD"/>
    <w:rsid w:val="00BB50F3"/>
    <w:rsid w:val="00BD09F8"/>
    <w:rsid w:val="00BD7278"/>
    <w:rsid w:val="00BE2395"/>
    <w:rsid w:val="00BF2D2F"/>
    <w:rsid w:val="00C005B2"/>
    <w:rsid w:val="00C130C5"/>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E6983"/>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71EA5"/>
    <w:rsid w:val="00F83B96"/>
    <w:rsid w:val="00F8441D"/>
    <w:rsid w:val="00F87C1E"/>
    <w:rsid w:val="00F9078A"/>
    <w:rsid w:val="00F907E3"/>
    <w:rsid w:val="00F958C2"/>
    <w:rsid w:val="00FA6FE9"/>
    <w:rsid w:val="00FA740E"/>
    <w:rsid w:val="00FC06C7"/>
    <w:rsid w:val="00FD5DB4"/>
    <w:rsid w:val="00FE1724"/>
    <w:rsid w:val="00FE375B"/>
    <w:rsid w:val="00FE753C"/>
    <w:rsid w:val="00FF2162"/>
    <w:rsid w:val="00FF2346"/>
    <w:rsid w:val="0A912C68"/>
    <w:rsid w:val="1F872AE3"/>
    <w:rsid w:val="3C8C7022"/>
    <w:rsid w:val="3CF749E8"/>
    <w:rsid w:val="47734498"/>
    <w:rsid w:val="54E419CF"/>
    <w:rsid w:val="57983B34"/>
    <w:rsid w:val="593168EF"/>
    <w:rsid w:val="5C81555B"/>
    <w:rsid w:val="622F7B90"/>
    <w:rsid w:val="6ACF5192"/>
    <w:rsid w:val="6C0B3752"/>
    <w:rsid w:val="706300E1"/>
    <w:rsid w:val="76982C79"/>
    <w:rsid w:val="79457188"/>
    <w:rsid w:val="7D8E07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职责分类绩效目标文件"/>
    <w:basedOn w:val="1"/>
    <w:qFormat/>
    <w:uiPriority w:val="0"/>
    <w:pPr>
      <w:spacing w:line="500" w:lineRule="exact"/>
      <w:ind w:firstLine="560"/>
      <w:jc w:val="left"/>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line="500" w:lineRule="exact"/>
      <w:ind w:firstLine="560"/>
      <w:jc w:val="left"/>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5129-C100-4C4C-AFAB-B44F679B1F2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518</Words>
  <Characters>2956</Characters>
  <Lines>24</Lines>
  <Paragraphs>6</Paragraphs>
  <TotalTime>4</TotalTime>
  <ScaleCrop>false</ScaleCrop>
  <LinksUpToDate>false</LinksUpToDate>
  <CharactersWithSpaces>3468</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2023-09-18T02:52:00Z</cp:lastPrinted>
  <dcterms:modified xsi:type="dcterms:W3CDTF">2023-10-11T01:55:00Z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A14E893D89FD4766961354FF8C6497C3</vt:lpwstr>
  </property>
</Properties>
</file>